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1C4EA0">
        <w:rPr>
          <w:rFonts w:ascii="Times New Roman" w:hAnsi="Times New Roman"/>
          <w:sz w:val="24"/>
        </w:rPr>
        <w:t>4</w:t>
      </w:r>
      <w:r>
        <w:rPr>
          <w:rFonts w:ascii="Times New Roman" w:hAnsi="Times New Roman"/>
          <w:sz w:val="24"/>
        </w:rPr>
        <w:tab/>
      </w:r>
      <w:r w:rsidR="00083F56" w:rsidRPr="00083F56">
        <w:rPr>
          <w:rFonts w:ascii="Times New Roman" w:hAnsi="Times New Roman"/>
          <w:sz w:val="24"/>
        </w:rPr>
        <w:t>R4-</w:t>
      </w:r>
      <w:r w:rsidR="001C4EA0">
        <w:rPr>
          <w:rFonts w:ascii="Times New Roman" w:hAnsi="Times New Roman"/>
          <w:sz w:val="24"/>
        </w:rPr>
        <w:t>20</w:t>
      </w:r>
      <w:r w:rsidR="00FF4FD8">
        <w:rPr>
          <w:rFonts w:ascii="Times New Roman" w:hAnsi="Times New Roman"/>
          <w:sz w:val="24"/>
        </w:rPr>
        <w:t>01401</w:t>
      </w:r>
    </w:p>
    <w:p w:rsidR="005813AA" w:rsidRPr="00552689" w:rsidRDefault="001C4EA0" w:rsidP="005813AA">
      <w:pPr>
        <w:pStyle w:val="Header"/>
        <w:rPr>
          <w:rFonts w:ascii="Times New Roman" w:hAnsi="Times New Roman"/>
          <w:sz w:val="24"/>
          <w:lang w:val="en-US"/>
        </w:rPr>
      </w:pPr>
      <w:r>
        <w:rPr>
          <w:rFonts w:ascii="Times New Roman" w:hAnsi="Times New Roman"/>
          <w:sz w:val="24"/>
          <w:lang w:val="en-US"/>
        </w:rPr>
        <w:t>Athens</w:t>
      </w:r>
      <w:r w:rsidR="005813AA">
        <w:rPr>
          <w:rFonts w:ascii="Times New Roman" w:hAnsi="Times New Roman"/>
          <w:sz w:val="24"/>
          <w:lang w:val="en-US"/>
        </w:rPr>
        <w:t xml:space="preserve">, </w:t>
      </w:r>
      <w:r>
        <w:rPr>
          <w:rFonts w:ascii="Times New Roman" w:hAnsi="Times New Roman"/>
          <w:sz w:val="24"/>
          <w:lang w:val="en-US"/>
        </w:rPr>
        <w:t>Greece</w:t>
      </w:r>
      <w:r w:rsidR="005813AA">
        <w:rPr>
          <w:rFonts w:ascii="Times New Roman" w:hAnsi="Times New Roman"/>
          <w:sz w:val="24"/>
          <w:lang w:val="en-US"/>
        </w:rPr>
        <w:t xml:space="preserve">, </w:t>
      </w:r>
      <w:r>
        <w:rPr>
          <w:rFonts w:ascii="Times New Roman" w:hAnsi="Times New Roman"/>
          <w:sz w:val="24"/>
          <w:lang w:val="en-US"/>
        </w:rPr>
        <w:t>24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sidR="00EB7258">
        <w:rPr>
          <w:rFonts w:ascii="Times New Roman" w:hAnsi="Times New Roman"/>
          <w:sz w:val="24"/>
          <w:lang w:val="en-US"/>
        </w:rPr>
        <w:t>2</w:t>
      </w:r>
      <w:r>
        <w:rPr>
          <w:rFonts w:ascii="Times New Roman" w:hAnsi="Times New Roman"/>
          <w:sz w:val="24"/>
          <w:lang w:val="en-US"/>
        </w:rPr>
        <w:t>8</w:t>
      </w:r>
      <w:r w:rsidR="002B1082">
        <w:rPr>
          <w:rFonts w:ascii="Times New Roman" w:hAnsi="Times New Roman"/>
          <w:sz w:val="24"/>
          <w:lang w:val="en-US"/>
        </w:rPr>
        <w:t xml:space="preserve"> </w:t>
      </w:r>
      <w:r>
        <w:rPr>
          <w:rFonts w:ascii="Times New Roman" w:hAnsi="Times New Roman"/>
          <w:sz w:val="24"/>
          <w:lang w:val="en-US"/>
        </w:rPr>
        <w:t>February</w:t>
      </w:r>
      <w:r w:rsidR="0032455B">
        <w:rPr>
          <w:rFonts w:ascii="Times New Roman" w:hAnsi="Times New Roman"/>
          <w:sz w:val="24"/>
          <w:lang w:val="en-US"/>
        </w:rPr>
        <w:t>, 20</w:t>
      </w:r>
      <w:r>
        <w:rPr>
          <w:rFonts w:ascii="Times New Roman" w:hAnsi="Times New Roman"/>
          <w:sz w:val="24"/>
          <w:lang w:val="en-US"/>
        </w:rPr>
        <w:t>20</w:t>
      </w:r>
    </w:p>
    <w:p w:rsidR="005813AA" w:rsidRPr="007535E3" w:rsidRDefault="005813AA" w:rsidP="005813AA">
      <w:pPr>
        <w:pStyle w:val="Footer"/>
        <w:jc w:val="both"/>
        <w:rPr>
          <w:noProof w:val="0"/>
        </w:rPr>
      </w:pPr>
    </w:p>
    <w:p w:rsidR="00B12FC8"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B12FC8" w:rsidRPr="00B12FC8">
        <w:rPr>
          <w:rFonts w:ascii="Arial" w:hAnsi="Arial" w:cs="Arial"/>
          <w:sz w:val="24"/>
          <w:lang w:val="en-US" w:eastAsia="zh-CN"/>
        </w:rPr>
        <w:t>Mandatory gap patterns in NR RRM enhancement</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FF4FD8">
        <w:rPr>
          <w:rFonts w:ascii="Arial" w:hAnsi="Arial" w:cs="Arial"/>
          <w:sz w:val="24"/>
          <w:lang w:val="en-US" w:eastAsia="zh-CN"/>
        </w:rPr>
        <w:t>8.15.1.6</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5502B" w:rsidRDefault="00DE0401" w:rsidP="0065502B">
      <w:r>
        <w:t xml:space="preserve">In RAN#85, the WI for RRM enhancement in R16 was revised </w:t>
      </w:r>
      <w:r>
        <w:fldChar w:fldCharType="begin"/>
      </w:r>
      <w:r>
        <w:instrText xml:space="preserve"> REF _Ref19802584 \r \h </w:instrText>
      </w:r>
      <w:r>
        <w:fldChar w:fldCharType="separate"/>
      </w:r>
      <w:r>
        <w:t>[1]</w:t>
      </w:r>
      <w:r>
        <w:fldChar w:fldCharType="end"/>
      </w:r>
      <w:r>
        <w:t xml:space="preserve"> to include the following objective based on agreements from RAN4#92</w:t>
      </w:r>
    </w:p>
    <w:p w:rsidR="00DE0401" w:rsidRPr="00DE0401" w:rsidRDefault="00DE0401" w:rsidP="00DE0401">
      <w:pPr>
        <w:pStyle w:val="NormalWeb"/>
        <w:numPr>
          <w:ilvl w:val="0"/>
          <w:numId w:val="35"/>
        </w:numPr>
        <w:spacing w:before="0" w:beforeAutospacing="0" w:after="120" w:afterAutospacing="0"/>
        <w:rPr>
          <w:bCs/>
          <w:i/>
          <w:kern w:val="24"/>
          <w:sz w:val="20"/>
          <w:szCs w:val="20"/>
          <w:lang w:val="en-GB"/>
        </w:rPr>
      </w:pPr>
      <w:bookmarkStart w:id="0" w:name="_Hlk18508776"/>
      <w:r w:rsidRPr="00DE0401">
        <w:rPr>
          <w:bCs/>
          <w:i/>
          <w:kern w:val="24"/>
          <w:sz w:val="20"/>
          <w:szCs w:val="20"/>
          <w:lang w:val="en-GB"/>
        </w:rPr>
        <w:t xml:space="preserve">Mandating more measurement gap patterns for R16 RRM </w:t>
      </w:r>
    </w:p>
    <w:p w:rsidR="00DE0401" w:rsidRPr="00DE0401" w:rsidRDefault="00DE0401" w:rsidP="00DE0401">
      <w:pPr>
        <w:pStyle w:val="ListParagraph"/>
        <w:numPr>
          <w:ilvl w:val="1"/>
          <w:numId w:val="36"/>
        </w:numPr>
        <w:spacing w:after="120"/>
        <w:contextualSpacing w:val="0"/>
        <w:rPr>
          <w:bCs/>
          <w:i/>
          <w:kern w:val="24"/>
          <w:sz w:val="20"/>
          <w:szCs w:val="20"/>
          <w:lang w:val="en-GB"/>
        </w:rPr>
      </w:pPr>
      <w:r w:rsidRPr="00DE0401">
        <w:rPr>
          <w:bCs/>
          <w:i/>
          <w:kern w:val="24"/>
          <w:sz w:val="20"/>
          <w:szCs w:val="20"/>
          <w:lang w:val="en-GB"/>
        </w:rPr>
        <w:t>Discuss on the possible benefits and network/UE complexity aspects of mandating additional measurement gap pattern(s) for R16 RRM based on R15 measurement gap applicability requirements.</w:t>
      </w:r>
    </w:p>
    <w:p w:rsidR="00DE0401" w:rsidRDefault="00DE0401" w:rsidP="00DE0401">
      <w:pPr>
        <w:pStyle w:val="ListParagraph"/>
        <w:numPr>
          <w:ilvl w:val="1"/>
          <w:numId w:val="36"/>
        </w:numPr>
        <w:spacing w:after="120"/>
        <w:contextualSpacing w:val="0"/>
        <w:rPr>
          <w:bCs/>
          <w:i/>
          <w:kern w:val="24"/>
          <w:sz w:val="20"/>
          <w:szCs w:val="20"/>
          <w:lang w:val="en-GB"/>
        </w:rPr>
      </w:pPr>
      <w:r w:rsidRPr="00DE0401">
        <w:rPr>
          <w:bCs/>
          <w:i/>
          <w:kern w:val="24"/>
          <w:sz w:val="20"/>
          <w:szCs w:val="20"/>
          <w:lang w:val="en-GB"/>
        </w:rPr>
        <w:t>If the conclusion is to mandate additional gap pattern(s), inform RAN2 by LS</w:t>
      </w:r>
      <w:bookmarkEnd w:id="0"/>
    </w:p>
    <w:p w:rsidR="003A59ED" w:rsidRDefault="003A59ED" w:rsidP="003A59ED">
      <w:pPr>
        <w:spacing w:after="120"/>
        <w:rPr>
          <w:bCs/>
          <w:kern w:val="24"/>
        </w:rPr>
      </w:pPr>
      <w:r>
        <w:rPr>
          <w:bCs/>
          <w:kern w:val="24"/>
        </w:rPr>
        <w:t>In RAN4#92bis, first discussions took place. The way forward was not agreed, mainly due to late discussions about backwards compatible signalling</w:t>
      </w:r>
    </w:p>
    <w:tbl>
      <w:tblPr>
        <w:tblStyle w:val="TableGrid"/>
        <w:tblW w:w="0" w:type="auto"/>
        <w:tblLook w:val="04A0" w:firstRow="1" w:lastRow="0" w:firstColumn="1" w:lastColumn="0" w:noHBand="0" w:noVBand="1"/>
      </w:tblPr>
      <w:tblGrid>
        <w:gridCol w:w="10537"/>
      </w:tblGrid>
      <w:tr w:rsidR="003A59ED" w:rsidTr="003A59ED">
        <w:tc>
          <w:tcPr>
            <w:tcW w:w="10537" w:type="dxa"/>
          </w:tcPr>
          <w:p w:rsidR="003A59ED" w:rsidRPr="0029433B" w:rsidRDefault="003A59ED" w:rsidP="003A59ED">
            <w:pPr>
              <w:numPr>
                <w:ilvl w:val="0"/>
                <w:numId w:val="39"/>
              </w:numPr>
            </w:pPr>
            <w:r w:rsidRPr="0029433B">
              <w:t xml:space="preserve">Introduce a new Rel-16 UE capability to use measurement gap patterns for NR only measurements (no LTE measurement) </w:t>
            </w:r>
          </w:p>
          <w:p w:rsidR="003A59ED" w:rsidRPr="0029433B" w:rsidRDefault="003A59ED" w:rsidP="003A59ED">
            <w:pPr>
              <w:numPr>
                <w:ilvl w:val="1"/>
                <w:numId w:val="39"/>
              </w:numPr>
            </w:pPr>
            <w:r w:rsidRPr="0029433B">
              <w:rPr>
                <w:lang w:val="en-US"/>
              </w:rPr>
              <w:t>FFS applicability of scenarios</w:t>
            </w:r>
          </w:p>
          <w:p w:rsidR="003A59ED" w:rsidRPr="0029433B" w:rsidRDefault="003A59ED" w:rsidP="003A59ED">
            <w:pPr>
              <w:numPr>
                <w:ilvl w:val="2"/>
                <w:numId w:val="39"/>
              </w:numPr>
            </w:pPr>
            <w:r w:rsidRPr="0029433B">
              <w:rPr>
                <w:lang w:val="en-US"/>
              </w:rPr>
              <w:t xml:space="preserve">if applicable for each LTE-SA EN-DC, NE-DC, NR SA, and NR-DC mode. </w:t>
            </w:r>
          </w:p>
          <w:p w:rsidR="003A59ED" w:rsidRPr="0029433B" w:rsidRDefault="003A59ED" w:rsidP="003A59ED">
            <w:pPr>
              <w:numPr>
                <w:ilvl w:val="1"/>
                <w:numId w:val="39"/>
              </w:numPr>
            </w:pPr>
            <w:r w:rsidRPr="0029433B">
              <w:rPr>
                <w:lang w:val="en-US"/>
              </w:rPr>
              <w:t>FFS if same capability shall apply for all applicable scnearios</w:t>
            </w:r>
          </w:p>
          <w:p w:rsidR="003A59ED" w:rsidRPr="0029433B" w:rsidRDefault="003A59ED" w:rsidP="003A59ED">
            <w:pPr>
              <w:numPr>
                <w:ilvl w:val="1"/>
                <w:numId w:val="39"/>
              </w:numPr>
            </w:pPr>
            <w:bookmarkStart w:id="1" w:name="_Hlk23238742"/>
            <w:r w:rsidRPr="0029433B">
              <w:rPr>
                <w:lang w:val="en-US"/>
              </w:rPr>
              <w:t xml:space="preserve">FFS scope of NR only measurement </w:t>
            </w:r>
          </w:p>
          <w:p w:rsidR="003A59ED" w:rsidRPr="0029433B" w:rsidRDefault="003A59ED" w:rsidP="003A59ED">
            <w:pPr>
              <w:numPr>
                <w:ilvl w:val="2"/>
                <w:numId w:val="39"/>
              </w:numPr>
            </w:pPr>
            <w:r w:rsidRPr="0029433B">
              <w:rPr>
                <w:lang w:val="en-US"/>
              </w:rPr>
              <w:t>NR to NR only measurement</w:t>
            </w:r>
          </w:p>
          <w:p w:rsidR="003A59ED" w:rsidRPr="0029433B" w:rsidRDefault="003A59ED" w:rsidP="003A59ED">
            <w:pPr>
              <w:numPr>
                <w:ilvl w:val="2"/>
                <w:numId w:val="39"/>
              </w:numPr>
            </w:pPr>
            <w:r w:rsidRPr="0029433B">
              <w:rPr>
                <w:lang w:val="en-US"/>
              </w:rPr>
              <w:t>both NR to NR and LTE to NR measurement</w:t>
            </w:r>
          </w:p>
          <w:bookmarkEnd w:id="1"/>
          <w:p w:rsidR="003A59ED" w:rsidRPr="0029433B" w:rsidRDefault="003A59ED" w:rsidP="003A59ED">
            <w:pPr>
              <w:numPr>
                <w:ilvl w:val="1"/>
                <w:numId w:val="39"/>
              </w:numPr>
            </w:pPr>
            <w:r w:rsidRPr="0029433B">
              <w:rPr>
                <w:lang w:val="en-US"/>
              </w:rPr>
              <w:t>RAN4 will further discuss which GP shall be mandatory in R16 for new UE capability</w:t>
            </w:r>
          </w:p>
          <w:p w:rsidR="003A59ED" w:rsidRPr="003A59ED" w:rsidRDefault="003A59ED" w:rsidP="003A59ED">
            <w:pPr>
              <w:numPr>
                <w:ilvl w:val="1"/>
                <w:numId w:val="39"/>
              </w:numPr>
            </w:pPr>
            <w:r w:rsidRPr="0029433B">
              <w:rPr>
                <w:lang w:val="en-US"/>
              </w:rPr>
              <w:t>FFS the UE behavior in LTE-SA EN-DC, NE-DC, NR SA, and NR-DC mode if a measurement gap pattern is mandated in Rel-16 but IE supportedGapPattern indicates the same measurement gap pattern is not optionally supported by the UE</w:t>
            </w:r>
          </w:p>
        </w:tc>
      </w:tr>
    </w:tbl>
    <w:p w:rsidR="003A59ED" w:rsidRPr="003A59ED" w:rsidRDefault="003A59ED" w:rsidP="003A59ED">
      <w:pPr>
        <w:spacing w:after="120"/>
        <w:rPr>
          <w:bCs/>
          <w:kern w:val="24"/>
        </w:rPr>
      </w:pPr>
    </w:p>
    <w:p w:rsidR="00EB7258" w:rsidRDefault="00DE0401" w:rsidP="00EB7258">
      <w:pPr>
        <w:rPr>
          <w:lang w:val="en-US"/>
        </w:rPr>
      </w:pPr>
      <w:r>
        <w:t xml:space="preserve">In this paper, we present some views on </w:t>
      </w:r>
      <w:r w:rsidR="00EB7258" w:rsidRPr="0029433B">
        <w:rPr>
          <w:lang w:val="en-US"/>
        </w:rPr>
        <w:t xml:space="preserve">which GP shall be mandatory in R16 for </w:t>
      </w:r>
      <w:r w:rsidR="00EB7258">
        <w:rPr>
          <w:lang w:val="en-US"/>
        </w:rPr>
        <w:t xml:space="preserve">the </w:t>
      </w:r>
      <w:r w:rsidR="00EB7258" w:rsidRPr="0029433B">
        <w:rPr>
          <w:lang w:val="en-US"/>
        </w:rPr>
        <w:t xml:space="preserve">new UE </w:t>
      </w:r>
      <w:r w:rsidR="00EB7258">
        <w:rPr>
          <w:lang w:val="en-US"/>
        </w:rPr>
        <w:t>capability (second last bullet in the WF). We cover other aspects in a companion contribution.</w:t>
      </w:r>
    </w:p>
    <w:p w:rsidR="00902595" w:rsidRDefault="00EB7258" w:rsidP="00EB7258">
      <w:pPr>
        <w:pStyle w:val="Heading1"/>
        <w:rPr>
          <w:lang w:val="en-US" w:eastAsia="zh-CN"/>
        </w:rPr>
      </w:pPr>
      <w:r>
        <w:rPr>
          <w:lang w:val="en-US" w:eastAsia="zh-CN"/>
        </w:rPr>
        <w:t xml:space="preserve"> </w:t>
      </w:r>
      <w:r w:rsidR="00902595">
        <w:rPr>
          <w:lang w:val="en-US" w:eastAsia="zh-CN"/>
        </w:rPr>
        <w:t>Discussion</w:t>
      </w:r>
    </w:p>
    <w:p w:rsidR="00202D60" w:rsidRDefault="00202D60" w:rsidP="00202D60">
      <w:pPr>
        <w:rPr>
          <w:lang w:val="en-US" w:eastAsia="zh-CN"/>
        </w:rPr>
      </w:pPr>
      <w:r>
        <w:rPr>
          <w:lang w:val="en-US" w:eastAsia="zh-CN"/>
        </w:rPr>
        <w:t>Starting with release 15, the following 24 gap patterns are specified for different measurement applicability in NR and NR+LTE measurement</w:t>
      </w:r>
    </w:p>
    <w:p w:rsidR="00171C3E" w:rsidRPr="00BE78B0" w:rsidRDefault="00171C3E" w:rsidP="00171C3E">
      <w:pPr>
        <w:keepNext/>
        <w:keepLines/>
        <w:spacing w:before="60"/>
        <w:jc w:val="center"/>
        <w:rPr>
          <w:rFonts w:ascii="Arial" w:hAnsi="Arial"/>
          <w:b/>
        </w:rPr>
      </w:pPr>
      <w:r w:rsidRPr="00BE78B0">
        <w:rPr>
          <w:rFonts w:ascii="Arial" w:hAnsi="Arial"/>
          <w:b/>
          <w:snapToGrid w:val="0"/>
        </w:rPr>
        <w:lastRenderedPageBreak/>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5"/>
        <w:gridCol w:w="1915"/>
      </w:tblGrid>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rsidR="00171C3E" w:rsidRPr="00BE78B0" w:rsidRDefault="00171C3E" w:rsidP="00EB7462">
            <w:pPr>
              <w:keepNext/>
              <w:keepLines/>
              <w:spacing w:after="0"/>
              <w:jc w:val="center"/>
              <w:rPr>
                <w:rFonts w:ascii="Arial" w:hAnsi="Arial"/>
                <w:b/>
                <w:sz w:val="18"/>
              </w:rPr>
            </w:pPr>
            <w:r w:rsidRPr="00BE78B0">
              <w:rPr>
                <w:rFonts w:ascii="Arial" w:hAnsi="Arial"/>
                <w:b/>
                <w:sz w:val="18"/>
              </w:rPr>
              <w:t>(MGRP, ms)</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0</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1</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rPr>
            </w:pPr>
            <w:r w:rsidRPr="00171C3E">
              <w:rPr>
                <w:rFonts w:ascii="Arial" w:hAnsi="Arial"/>
                <w:snapToGrid w:val="0"/>
                <w:sz w:val="18"/>
                <w:highlight w:val="green"/>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171C3E" w:rsidRDefault="00171C3E" w:rsidP="00EB7462">
            <w:pPr>
              <w:keepNext/>
              <w:keepLines/>
              <w:spacing w:after="0"/>
              <w:jc w:val="center"/>
              <w:rPr>
                <w:rFonts w:ascii="Arial" w:hAnsi="Arial"/>
                <w:snapToGrid w:val="0"/>
                <w:sz w:val="18"/>
                <w:highlight w:val="green"/>
                <w:lang w:eastAsia="ko-KR"/>
              </w:rPr>
            </w:pPr>
            <w:r w:rsidRPr="00171C3E">
              <w:rPr>
                <w:rFonts w:ascii="Arial" w:hAnsi="Arial"/>
                <w:snapToGrid w:val="0"/>
                <w:sz w:val="18"/>
                <w:highlight w:val="green"/>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20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rPr>
              <w:t>40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171C3E" w:rsidRPr="00BE78B0" w:rsidTr="00EB7462">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171C3E" w:rsidRPr="00BE78B0" w:rsidRDefault="00171C3E" w:rsidP="00EB7462">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rsidR="00202D60" w:rsidRDefault="00202D60" w:rsidP="00202D60">
      <w:pPr>
        <w:rPr>
          <w:lang w:val="en-US" w:eastAsia="zh-CN"/>
        </w:rPr>
      </w:pPr>
    </w:p>
    <w:p w:rsidR="00662E4A" w:rsidRDefault="00171C3E" w:rsidP="00662E4A">
      <w:pPr>
        <w:rPr>
          <w:lang w:val="en-US" w:eastAsia="zh-CN"/>
        </w:rPr>
      </w:pPr>
      <w:r>
        <w:rPr>
          <w:lang w:val="en-US" w:eastAsia="zh-CN"/>
        </w:rPr>
        <w:t xml:space="preserve">The four patterns shown in green are mandatory in release 15, based on earlier RAN4 decision. </w:t>
      </w:r>
      <w:r w:rsidR="00662E4A">
        <w:rPr>
          <w:lang w:val="en-US" w:eastAsia="zh-CN"/>
        </w:rPr>
        <w:t xml:space="preserve">We now </w:t>
      </w:r>
      <w:r w:rsidR="00EB7258">
        <w:rPr>
          <w:lang w:val="en-US" w:eastAsia="zh-CN"/>
        </w:rPr>
        <w:t>analyze possible</w:t>
      </w:r>
      <w:r w:rsidR="00662E4A">
        <w:rPr>
          <w:lang w:val="en-US" w:eastAsia="zh-CN"/>
        </w:rPr>
        <w:t xml:space="preserve"> further mandatory gap patterns</w:t>
      </w:r>
    </w:p>
    <w:p w:rsidR="00BC3922" w:rsidRDefault="00BC3922" w:rsidP="006B6666">
      <w:pPr>
        <w:rPr>
          <w:lang w:val="en-US" w:eastAsia="zh-CN"/>
        </w:rPr>
      </w:pPr>
    </w:p>
    <w:p w:rsidR="00AE1A5D" w:rsidRDefault="00AE1A5D" w:rsidP="00AE1A5D">
      <w:pPr>
        <w:pStyle w:val="Heading2"/>
        <w:rPr>
          <w:lang w:val="en-US" w:eastAsia="zh-CN"/>
        </w:rPr>
      </w:pPr>
      <w:r w:rsidRPr="00745D9A">
        <w:rPr>
          <w:lang w:val="en-US" w:eastAsia="zh-CN"/>
        </w:rPr>
        <w:t>GP12-23</w:t>
      </w:r>
      <w:r w:rsidR="002E6003">
        <w:rPr>
          <w:lang w:val="en-US" w:eastAsia="zh-CN"/>
        </w:rPr>
        <w:t xml:space="preserve"> (GP13,14 are already mandatory from R15)</w:t>
      </w:r>
    </w:p>
    <w:p w:rsidR="00AE1A5D" w:rsidRDefault="00AE1A5D" w:rsidP="00AE1A5D">
      <w:pPr>
        <w:rPr>
          <w:lang w:val="en-US" w:eastAsia="zh-CN"/>
        </w:rPr>
      </w:pPr>
      <w:r>
        <w:rPr>
          <w:lang w:val="en-US" w:eastAsia="zh-CN"/>
        </w:rPr>
        <w:t>GP13 and GP14 both have MGL=5</w:t>
      </w:r>
      <w:r w:rsidR="00EB7258">
        <w:rPr>
          <w:lang w:val="en-US" w:eastAsia="zh-CN"/>
        </w:rPr>
        <w:t>.</w:t>
      </w:r>
      <w:r>
        <w:rPr>
          <w:lang w:val="en-US" w:eastAsia="zh-CN"/>
        </w:rPr>
        <w:t xml:space="preserve">5ms, allowing for 5ms of useable measurement time when switching time is allowed for. Our view is that SMTC will very commonly have a duration significantly shorter than 5ms, e.g. if the basestation uses significantly fewer than 64 SSB TX beams. The other MGL options for FR2 measurement are 1.5ms (1ms useful measurement time) and 3.5ms (3ms useful measurement time). From these options, 3.5ms MGL is clearly the more useful, since 1.5ms MGRP patterns are only usable with very short SSB bursts with very good timing uncertainty at the UE receiver. </w:t>
      </w:r>
    </w:p>
    <w:p w:rsidR="00AE1A5D" w:rsidRDefault="00AE1A5D" w:rsidP="00AE1A5D">
      <w:pPr>
        <w:rPr>
          <w:lang w:val="en-US" w:eastAsia="zh-CN"/>
        </w:rPr>
      </w:pPr>
      <w:r>
        <w:rPr>
          <w:lang w:val="en-US" w:eastAsia="zh-CN"/>
        </w:rPr>
        <w:t>We also think that 40ms and 80ms MGRP are the most useful settings, considering UE performance and L1 throughput impact. 20ms MGRP causes high throughput impact and is impractical in most cases with MGL=5.5ms and even with MGL=3.5ms the impact may be rather significant considering UE behavior after measurement gap when large TA or MGTA is used. MGRP=160ms is useful for offload measurements so in that sense it can be helpful, however there exist other ways of implementing offload measurements in the network such as using a 40ms or 80ms MGL gap pattern, and then (periodically or otherwise) stopping the gaps if no offload cell is reported.</w:t>
      </w:r>
    </w:p>
    <w:p w:rsidR="00AE1A5D" w:rsidRDefault="00AE1A5D" w:rsidP="00AE1A5D">
      <w:pPr>
        <w:rPr>
          <w:lang w:val="en-US" w:eastAsia="zh-CN"/>
        </w:rPr>
      </w:pPr>
      <w:r>
        <w:rPr>
          <w:lang w:val="en-US" w:eastAsia="zh-CN"/>
        </w:rPr>
        <w:t>Based on this, we propose:</w:t>
      </w:r>
    </w:p>
    <w:p w:rsidR="00AE1A5D" w:rsidRDefault="00AE1A5D" w:rsidP="00AE1A5D">
      <w:pPr>
        <w:rPr>
          <w:b/>
          <w:lang w:val="en-US" w:eastAsia="zh-CN"/>
        </w:rPr>
      </w:pPr>
      <w:r>
        <w:rPr>
          <w:b/>
          <w:lang w:val="en-US" w:eastAsia="zh-CN"/>
        </w:rPr>
        <w:t xml:space="preserve">Proposal </w:t>
      </w:r>
      <w:r w:rsidR="00662E4A">
        <w:rPr>
          <w:b/>
          <w:lang w:val="en-US" w:eastAsia="zh-CN"/>
        </w:rPr>
        <w:t>1</w:t>
      </w:r>
      <w:r>
        <w:rPr>
          <w:b/>
          <w:lang w:val="en-US" w:eastAsia="zh-CN"/>
        </w:rPr>
        <w:t xml:space="preserve"> : </w:t>
      </w:r>
      <w:r w:rsidR="00B92619">
        <w:rPr>
          <w:b/>
          <w:lang w:val="en-US" w:eastAsia="zh-CN"/>
        </w:rPr>
        <w:t xml:space="preserve">At least </w:t>
      </w:r>
      <w:r>
        <w:rPr>
          <w:b/>
          <w:lang w:val="en-US" w:eastAsia="zh-CN"/>
        </w:rPr>
        <w:t>GP17 and GP18 are considered in the discussion mandatory for release 16 UEs</w:t>
      </w:r>
    </w:p>
    <w:p w:rsidR="002E6003" w:rsidRPr="002E6003" w:rsidRDefault="002E6003" w:rsidP="00AE1A5D">
      <w:pPr>
        <w:rPr>
          <w:lang w:val="en-US" w:eastAsia="zh-CN"/>
        </w:rPr>
      </w:pPr>
      <w:r w:rsidRPr="002E6003">
        <w:rPr>
          <w:lang w:val="en-US" w:eastAsia="zh-CN"/>
        </w:rPr>
        <w:t>One</w:t>
      </w:r>
      <w:r>
        <w:rPr>
          <w:lang w:val="en-US" w:eastAsia="zh-CN"/>
        </w:rPr>
        <w:t xml:space="preserve"> point to note here is that in NR, all UE which are measuring a frequency layer are measuring the same SSB resources. It is thus rat</w:t>
      </w:r>
      <w:r w:rsidR="00662E4A">
        <w:rPr>
          <w:lang w:val="en-US" w:eastAsia="zh-CN"/>
        </w:rPr>
        <w:t>h</w:t>
      </w:r>
      <w:r>
        <w:rPr>
          <w:lang w:val="en-US" w:eastAsia="zh-CN"/>
        </w:rPr>
        <w:t>er likely that many UE have aligned gaps, such that the gap cannot be used for scheduling a different UE if that UE is measuring the same resources.</w:t>
      </w:r>
    </w:p>
    <w:p w:rsidR="00B92619" w:rsidRDefault="00B92619" w:rsidP="00B92619">
      <w:pPr>
        <w:pStyle w:val="Heading2"/>
        <w:rPr>
          <w:lang w:val="en-US" w:eastAsia="zh-CN"/>
        </w:rPr>
      </w:pPr>
      <w:r w:rsidRPr="00745D9A">
        <w:rPr>
          <w:lang w:val="en-US" w:eastAsia="zh-CN"/>
        </w:rPr>
        <w:t>GP</w:t>
      </w:r>
      <w:r w:rsidR="002E6003">
        <w:rPr>
          <w:lang w:val="en-US" w:eastAsia="zh-CN"/>
        </w:rPr>
        <w:t>2</w:t>
      </w:r>
      <w:r w:rsidRPr="00745D9A">
        <w:rPr>
          <w:lang w:val="en-US" w:eastAsia="zh-CN"/>
        </w:rPr>
        <w:t>-</w:t>
      </w:r>
      <w:r>
        <w:rPr>
          <w:lang w:val="en-US" w:eastAsia="zh-CN"/>
        </w:rPr>
        <w:t>11</w:t>
      </w:r>
      <w:r w:rsidR="002E6003">
        <w:rPr>
          <w:lang w:val="en-US" w:eastAsia="zh-CN"/>
        </w:rPr>
        <w:t xml:space="preserve"> (GP0,1 are already mandatory from R15)</w:t>
      </w:r>
    </w:p>
    <w:p w:rsidR="002E6003" w:rsidRDefault="00B92619" w:rsidP="00662E4A">
      <w:pPr>
        <w:rPr>
          <w:lang w:val="en-US" w:eastAsia="zh-CN"/>
        </w:rPr>
      </w:pPr>
      <w:r>
        <w:rPr>
          <w:lang w:val="en-US" w:eastAsia="zh-CN"/>
        </w:rPr>
        <w:t>An additional complication with GP0-11 is the possible support for LTE short measurement gap</w:t>
      </w:r>
      <w:r w:rsidR="00662E4A">
        <w:rPr>
          <w:lang w:val="en-US" w:eastAsia="zh-CN"/>
        </w:rPr>
        <w:t xml:space="preserve">. In a separate contribution we discuss NR only measurements and extending capability </w:t>
      </w:r>
      <w:r w:rsidR="00E63EDC">
        <w:rPr>
          <w:lang w:val="en-US" w:eastAsia="zh-CN"/>
        </w:rPr>
        <w:t>signaling</w:t>
      </w:r>
      <w:r w:rsidR="00662E4A">
        <w:rPr>
          <w:lang w:val="en-US" w:eastAsia="zh-CN"/>
        </w:rPr>
        <w:t xml:space="preserve"> and applicability of gaps in a backwards compatible way from </w:t>
      </w:r>
      <w:r w:rsidR="00662E4A">
        <w:rPr>
          <w:lang w:val="en-US" w:eastAsia="zh-CN"/>
        </w:rPr>
        <w:lastRenderedPageBreak/>
        <w:t>R16 onwards. Since the proposals are provided in another paper, we continue in this contribution under the assumption that it is possible to mandate</w:t>
      </w:r>
      <w:r w:rsidR="00662E4A" w:rsidRPr="00662E4A">
        <w:rPr>
          <w:lang w:val="en-US" w:eastAsia="zh-CN"/>
        </w:rPr>
        <w:t xml:space="preserve"> GP2,3, 7, 8, 9, 10, or 11 for NR only measurement</w:t>
      </w:r>
    </w:p>
    <w:p w:rsidR="002E6003" w:rsidRDefault="00662E4A" w:rsidP="002E6003">
      <w:pPr>
        <w:rPr>
          <w:b/>
          <w:lang w:val="en-US" w:eastAsia="zh-CN"/>
        </w:rPr>
      </w:pPr>
      <w:r>
        <w:rPr>
          <w:b/>
          <w:lang w:val="en-US" w:eastAsia="zh-CN"/>
        </w:rPr>
        <w:t>Assumption 1</w:t>
      </w:r>
      <w:r w:rsidR="002E6003">
        <w:rPr>
          <w:b/>
          <w:lang w:val="en-US" w:eastAsia="zh-CN"/>
        </w:rPr>
        <w:t xml:space="preserve">: </w:t>
      </w:r>
      <w:r>
        <w:rPr>
          <w:b/>
          <w:lang w:val="en-US" w:eastAsia="zh-CN"/>
        </w:rPr>
        <w:t>S</w:t>
      </w:r>
      <w:r w:rsidR="002E6003">
        <w:rPr>
          <w:b/>
          <w:lang w:val="en-US" w:eastAsia="zh-CN"/>
        </w:rPr>
        <w:t>ignaling extensions</w:t>
      </w:r>
      <w:r>
        <w:rPr>
          <w:b/>
          <w:lang w:val="en-US" w:eastAsia="zh-CN"/>
        </w:rPr>
        <w:t xml:space="preserve"> are separately </w:t>
      </w:r>
      <w:r w:rsidR="00E63EDC">
        <w:rPr>
          <w:b/>
          <w:lang w:val="en-US" w:eastAsia="zh-CN"/>
        </w:rPr>
        <w:t>discussed</w:t>
      </w:r>
      <w:r w:rsidR="002E6003">
        <w:rPr>
          <w:b/>
          <w:lang w:val="en-US" w:eastAsia="zh-CN"/>
        </w:rPr>
        <w:t xml:space="preserve"> for rel 16 such that UEs may indicate that they only support NR measurements with </w:t>
      </w:r>
      <w:r>
        <w:rPr>
          <w:b/>
          <w:lang w:val="en-US" w:eastAsia="zh-CN"/>
        </w:rPr>
        <w:t>GP</w:t>
      </w:r>
      <w:r>
        <w:rPr>
          <w:rFonts w:ascii="Arial" w:hAnsi="Arial"/>
          <w:snapToGrid w:val="0"/>
          <w:sz w:val="18"/>
        </w:rPr>
        <w:t xml:space="preserve"> </w:t>
      </w:r>
      <w:r w:rsidRPr="00662E4A">
        <w:rPr>
          <w:rFonts w:ascii="Arial" w:hAnsi="Arial"/>
          <w:b/>
          <w:snapToGrid w:val="0"/>
          <w:sz w:val="18"/>
          <w:lang w:eastAsia="zh-CN"/>
        </w:rPr>
        <w:t>2, 3, 4, 6, 7, 8,10</w:t>
      </w:r>
      <w:r w:rsidR="002E6003">
        <w:rPr>
          <w:b/>
          <w:lang w:val="en-US" w:eastAsia="zh-CN"/>
        </w:rPr>
        <w:t>.</w:t>
      </w:r>
    </w:p>
    <w:p w:rsidR="002E6003" w:rsidRDefault="00662E4A" w:rsidP="002E6003">
      <w:pPr>
        <w:rPr>
          <w:lang w:val="en-US" w:eastAsia="zh-CN"/>
        </w:rPr>
      </w:pPr>
      <w:r>
        <w:rPr>
          <w:lang w:val="en-US" w:eastAsia="zh-CN"/>
        </w:rPr>
        <w:t xml:space="preserve">On this basis we can then discuss mandating some of these gap patterns to be mandatory for NR measurements. </w:t>
      </w:r>
      <w:r w:rsidR="002E6003">
        <w:rPr>
          <w:lang w:val="en-US" w:eastAsia="zh-CN"/>
        </w:rPr>
        <w:t>From our perspective, we see the principal purpose being to reduce throughput impact of NR measurements when the SMTC is significantly less than 6ms. In FR1</w:t>
      </w:r>
      <w:r w:rsidR="0074621D">
        <w:rPr>
          <w:lang w:val="en-US" w:eastAsia="zh-CN"/>
        </w:rPr>
        <w:t>, TX beamforming may not be used by gNB, especially on low bands and it is thus very realistic that FR1 NR deployments use short SS bursts and SMTC durations, even down to a single SS block.</w:t>
      </w:r>
    </w:p>
    <w:p w:rsidR="0074621D" w:rsidRDefault="0074621D" w:rsidP="002E6003">
      <w:pPr>
        <w:rPr>
          <w:b/>
          <w:lang w:val="en-US" w:eastAsia="zh-CN"/>
        </w:rPr>
      </w:pPr>
      <w:r>
        <w:rPr>
          <w:b/>
          <w:lang w:val="en-US" w:eastAsia="zh-CN"/>
        </w:rPr>
        <w:t xml:space="preserve">Proposal </w:t>
      </w:r>
      <w:r w:rsidR="00662E4A">
        <w:rPr>
          <w:b/>
          <w:lang w:val="en-US" w:eastAsia="zh-CN"/>
        </w:rPr>
        <w:t>2</w:t>
      </w:r>
      <w:r>
        <w:rPr>
          <w:b/>
          <w:lang w:val="en-US" w:eastAsia="zh-CN"/>
        </w:rPr>
        <w:t>: If the short measurement gap issue is addressed, at least GP2 and GP3 are considered as additional mandatory gap patterns for R16.</w:t>
      </w:r>
    </w:p>
    <w:p w:rsidR="00662E4A" w:rsidRDefault="00662E4A" w:rsidP="00662E4A">
      <w:pPr>
        <w:rPr>
          <w:lang w:val="en-US" w:eastAsia="zh-CN"/>
        </w:rPr>
      </w:pPr>
      <w:r>
        <w:rPr>
          <w:lang w:val="en-US" w:eastAsia="zh-CN"/>
        </w:rPr>
        <w:t>If the discussion of assumption 1 does not result in any new UE capability, then one way forward is to mandate at least GP</w:t>
      </w:r>
      <w:r w:rsidR="003A59ED">
        <w:rPr>
          <w:lang w:val="en-US" w:eastAsia="zh-CN"/>
        </w:rPr>
        <w:t>5, GP9 and GP11</w:t>
      </w:r>
      <w:r>
        <w:rPr>
          <w:lang w:val="en-US" w:eastAsia="zh-CN"/>
        </w:rPr>
        <w:t xml:space="preserve">, which does not support LTE measurements. The downside is that this has </w:t>
      </w:r>
      <w:r w:rsidR="003A59ED">
        <w:rPr>
          <w:lang w:val="en-US" w:eastAsia="zh-CN"/>
        </w:rPr>
        <w:t>160</w:t>
      </w:r>
      <w:r>
        <w:rPr>
          <w:lang w:val="en-US" w:eastAsia="zh-CN"/>
        </w:rPr>
        <w:t xml:space="preserve">ms periodicity which means that the </w:t>
      </w:r>
      <w:r w:rsidR="003A59ED">
        <w:rPr>
          <w:lang w:val="en-US" w:eastAsia="zh-CN"/>
        </w:rPr>
        <w:t>NR performance achievable is quite low, although it would give the benefit of improved throughput as the gap density for all these patterns is rather low.</w:t>
      </w:r>
    </w:p>
    <w:p w:rsidR="00662E4A" w:rsidRDefault="003A59ED" w:rsidP="00662E4A">
      <w:pPr>
        <w:rPr>
          <w:lang w:val="en-US" w:eastAsia="zh-CN"/>
        </w:rPr>
      </w:pPr>
      <w:r>
        <w:rPr>
          <w:lang w:val="en-US" w:eastAsia="zh-CN"/>
        </w:rPr>
        <w:t>Nevertheless</w:t>
      </w:r>
      <w:r w:rsidR="00662E4A">
        <w:rPr>
          <w:lang w:val="en-US" w:eastAsia="zh-CN"/>
        </w:rPr>
        <w:t>, it seems better to address the LTE short measurement gap issue</w:t>
      </w:r>
      <w:r>
        <w:rPr>
          <w:lang w:val="en-US" w:eastAsia="zh-CN"/>
        </w:rPr>
        <w:t xml:space="preserve"> with R16 capability signaling</w:t>
      </w:r>
      <w:r w:rsidR="00662E4A">
        <w:rPr>
          <w:lang w:val="en-US" w:eastAsia="zh-CN"/>
        </w:rPr>
        <w:t xml:space="preserve">, and consider other GP. </w:t>
      </w:r>
    </w:p>
    <w:p w:rsidR="00662E4A" w:rsidRPr="0074621D" w:rsidRDefault="00662E4A" w:rsidP="002E6003">
      <w:pPr>
        <w:rPr>
          <w:b/>
          <w:lang w:val="en-US" w:eastAsia="zh-CN"/>
        </w:rPr>
      </w:pPr>
    </w:p>
    <w:p w:rsidR="0074621D" w:rsidRDefault="0074621D" w:rsidP="0074621D">
      <w:pPr>
        <w:pStyle w:val="Heading2"/>
        <w:rPr>
          <w:lang w:val="en-US" w:eastAsia="zh-CN"/>
        </w:rPr>
      </w:pPr>
      <w:r>
        <w:rPr>
          <w:lang w:val="en-US" w:eastAsia="zh-CN"/>
        </w:rPr>
        <w:t>UE complexity aspects</w:t>
      </w:r>
    </w:p>
    <w:p w:rsidR="002E6003" w:rsidRDefault="0074621D" w:rsidP="00B92619">
      <w:pPr>
        <w:rPr>
          <w:lang w:val="en-US" w:eastAsia="zh-CN"/>
        </w:rPr>
      </w:pPr>
      <w:r>
        <w:rPr>
          <w:lang w:val="en-US" w:eastAsia="zh-CN"/>
        </w:rPr>
        <w:t>Sections 2.2 and 2.3 have addressed the objectives of the WI from the possible benefits aspect. The WI also indicates that RAN4 should consider UE/network complexity aspects. In this section we provide our views on UE complexity aspects, and in the next section we consider NW complexity aspects.</w:t>
      </w:r>
    </w:p>
    <w:p w:rsidR="0074621D" w:rsidRDefault="0074621D" w:rsidP="00B92619">
      <w:pPr>
        <w:rPr>
          <w:lang w:val="en-US" w:eastAsia="zh-CN"/>
        </w:rPr>
      </w:pPr>
      <w:r>
        <w:rPr>
          <w:lang w:val="en-US" w:eastAsia="zh-CN"/>
        </w:rPr>
        <w:t>Supporting additional gap pattern lengths should not result in the UE needing to do significantly more computation, since data reception is suspended during the gap, and the processing in the gap is the same correlation process. Since the UE already supports the correlation over the maximum MGL, it follows that computational complexity will not be more when using a shorter MGL</w:t>
      </w:r>
    </w:p>
    <w:p w:rsidR="0074621D" w:rsidRDefault="0074621D" w:rsidP="00B92619">
      <w:pPr>
        <w:rPr>
          <w:b/>
          <w:lang w:val="en-US" w:eastAsia="zh-CN"/>
        </w:rPr>
      </w:pPr>
      <w:r>
        <w:rPr>
          <w:b/>
          <w:lang w:val="en-US" w:eastAsia="zh-CN"/>
        </w:rPr>
        <w:t xml:space="preserve">Observation 1: </w:t>
      </w:r>
      <w:r w:rsidR="00250328">
        <w:rPr>
          <w:b/>
          <w:lang w:val="en-US" w:eastAsia="zh-CN"/>
        </w:rPr>
        <w:t xml:space="preserve">UE computational complexity is not </w:t>
      </w:r>
      <w:r w:rsidR="0074573B">
        <w:rPr>
          <w:b/>
          <w:lang w:val="en-US" w:eastAsia="zh-CN"/>
        </w:rPr>
        <w:t xml:space="preserve">significantly </w:t>
      </w:r>
      <w:r w:rsidR="00250328">
        <w:rPr>
          <w:b/>
          <w:lang w:val="en-US" w:eastAsia="zh-CN"/>
        </w:rPr>
        <w:t>increased by supporting additional(shorter) MGL</w:t>
      </w:r>
    </w:p>
    <w:p w:rsidR="00250328" w:rsidRDefault="00250328" w:rsidP="00B92619">
      <w:pPr>
        <w:rPr>
          <w:lang w:val="en-US" w:eastAsia="zh-CN"/>
        </w:rPr>
      </w:pPr>
      <w:r>
        <w:rPr>
          <w:lang w:val="en-US" w:eastAsia="zh-CN"/>
        </w:rPr>
        <w:t>In this context, computational complexity could map to system logic gate count, system logic clock rate, or software/processor clock rate.</w:t>
      </w:r>
    </w:p>
    <w:p w:rsidR="00250328" w:rsidRDefault="00250328" w:rsidP="00B92619">
      <w:pPr>
        <w:rPr>
          <w:lang w:val="en-US" w:eastAsia="zh-CN"/>
        </w:rPr>
      </w:pPr>
      <w:r>
        <w:rPr>
          <w:lang w:val="en-US" w:eastAsia="zh-CN"/>
        </w:rPr>
        <w:t xml:space="preserve">Supporting a shorter MGRP on the other hand, </w:t>
      </w:r>
      <w:r w:rsidRPr="00250328">
        <w:rPr>
          <w:u w:val="single"/>
          <w:lang w:val="en-US" w:eastAsia="zh-CN"/>
        </w:rPr>
        <w:t>may</w:t>
      </w:r>
      <w:r>
        <w:rPr>
          <w:lang w:val="en-US" w:eastAsia="zh-CN"/>
        </w:rPr>
        <w:t xml:space="preserve"> involve an increased processing rate since the UE has to perform gap-based correlations more frequently. In practice this is likely offset by the reduced need to decode serving cell signals, or perform non-gap-based measurements, and the searcher hardware should be dimensioned to correlate with 15ms offline processing according to other requirements for SFTD. Hence we expect that any computational complexity increase by shorter MGRP is manageable, although proposals 1-4 are at any rate relating to the extension of MGRP=40ms and MGRP=80ms patterns.</w:t>
      </w:r>
    </w:p>
    <w:p w:rsidR="00250328" w:rsidRDefault="00250328" w:rsidP="00B92619">
      <w:pPr>
        <w:rPr>
          <w:lang w:val="en-US" w:eastAsia="zh-CN"/>
        </w:rPr>
      </w:pPr>
      <w:r>
        <w:rPr>
          <w:lang w:val="en-US" w:eastAsia="zh-CN"/>
        </w:rPr>
        <w:t>There are other aspects to UE complexity which should be acknowledged. Firstly, undeniably the support of additional gap patterns results in  additional implementation and especially testing effort. While the cost of this effort is shared across the entire population of devices, it is undeniably somewhat more effort to implement more patterns. The second aspect is UE software code size and program memory usage. Our expectation is that there may be an extremely minor increase due to the additional control code to handle further gap configurations, however in the overall scheme of implementing an NR+LTE modem control software this increase is virtually insignificant. So we see the main extra burden comes from implementation and especially testing of the additional mandatory gap patterns.</w:t>
      </w:r>
    </w:p>
    <w:p w:rsidR="0074573B" w:rsidRDefault="0074573B" w:rsidP="00B92619">
      <w:pPr>
        <w:rPr>
          <w:b/>
          <w:lang w:val="en-US" w:eastAsia="zh-CN"/>
        </w:rPr>
      </w:pPr>
      <w:r>
        <w:rPr>
          <w:b/>
          <w:lang w:val="en-US" w:eastAsia="zh-CN"/>
        </w:rPr>
        <w:t xml:space="preserve">Observation 2: An additional UE burden comes from implementing and especially testing of the additional </w:t>
      </w:r>
      <w:r w:rsidR="002860A1">
        <w:rPr>
          <w:b/>
          <w:lang w:val="en-US" w:eastAsia="zh-CN"/>
        </w:rPr>
        <w:t xml:space="preserve">mandatory </w:t>
      </w:r>
      <w:r>
        <w:rPr>
          <w:b/>
          <w:lang w:val="en-US" w:eastAsia="zh-CN"/>
        </w:rPr>
        <w:t>gap patterns</w:t>
      </w:r>
    </w:p>
    <w:p w:rsidR="0074573B" w:rsidRPr="0074573B" w:rsidRDefault="0074573B" w:rsidP="00B92619">
      <w:pPr>
        <w:rPr>
          <w:lang w:val="en-US" w:eastAsia="zh-CN"/>
        </w:rPr>
      </w:pPr>
      <w:r w:rsidRPr="0074573B">
        <w:rPr>
          <w:lang w:val="en-US" w:eastAsia="zh-CN"/>
        </w:rPr>
        <w:t xml:space="preserve">This </w:t>
      </w:r>
      <w:r>
        <w:rPr>
          <w:lang w:val="en-US" w:eastAsia="zh-CN"/>
        </w:rPr>
        <w:t>means that it would be undesirable to mandate additional release 16 gap patterns which are not in practice used by any NR deployment.</w:t>
      </w:r>
    </w:p>
    <w:p w:rsidR="0074573B" w:rsidRDefault="0074573B" w:rsidP="0074573B">
      <w:pPr>
        <w:pStyle w:val="Heading2"/>
        <w:rPr>
          <w:lang w:val="en-US" w:eastAsia="zh-CN"/>
        </w:rPr>
      </w:pPr>
      <w:r>
        <w:rPr>
          <w:lang w:val="en-US" w:eastAsia="zh-CN"/>
        </w:rPr>
        <w:t>Network complexity aspects</w:t>
      </w:r>
    </w:p>
    <w:p w:rsidR="0074573B" w:rsidRDefault="0074573B" w:rsidP="00B92619">
      <w:pPr>
        <w:rPr>
          <w:lang w:val="en-US" w:eastAsia="zh-CN"/>
        </w:rPr>
      </w:pPr>
      <w:r w:rsidRPr="0074573B">
        <w:rPr>
          <w:lang w:val="en-US" w:eastAsia="zh-CN"/>
        </w:rPr>
        <w:t xml:space="preserve">The </w:t>
      </w:r>
      <w:r>
        <w:rPr>
          <w:lang w:val="en-US" w:eastAsia="zh-CN"/>
        </w:rPr>
        <w:t xml:space="preserve">main aspect of network affected by gap implementation is the UL and DL packet scheduler, since the UE should not be scheduled, nor given grants it cannot use for uplink in gaps; essentially there is no additional system logic gate count, system logic </w:t>
      </w:r>
      <w:r>
        <w:rPr>
          <w:lang w:val="en-US" w:eastAsia="zh-CN"/>
        </w:rPr>
        <w:lastRenderedPageBreak/>
        <w:t>clock rate, or software/processor clock rate from this since scheduling or not scheduling the UE is a logical decision from gap perspective.</w:t>
      </w:r>
    </w:p>
    <w:p w:rsidR="0074573B" w:rsidRDefault="0074573B" w:rsidP="0074573B">
      <w:pPr>
        <w:rPr>
          <w:b/>
          <w:lang w:val="en-US" w:eastAsia="zh-CN"/>
        </w:rPr>
      </w:pPr>
      <w:r>
        <w:rPr>
          <w:b/>
          <w:lang w:val="en-US" w:eastAsia="zh-CN"/>
        </w:rPr>
        <w:t xml:space="preserve">Observation </w:t>
      </w:r>
      <w:r w:rsidR="002860A1">
        <w:rPr>
          <w:b/>
          <w:lang w:val="en-US" w:eastAsia="zh-CN"/>
        </w:rPr>
        <w:t>3</w:t>
      </w:r>
      <w:r>
        <w:rPr>
          <w:b/>
          <w:lang w:val="en-US" w:eastAsia="zh-CN"/>
        </w:rPr>
        <w:t>: Network computational complexity is not significantly increased by supporting additional MG patterns</w:t>
      </w:r>
    </w:p>
    <w:p w:rsidR="0074573B" w:rsidRDefault="0074573B" w:rsidP="00B92619">
      <w:pPr>
        <w:rPr>
          <w:lang w:val="en-US" w:eastAsia="zh-CN"/>
        </w:rPr>
      </w:pPr>
      <w:r>
        <w:rPr>
          <w:lang w:val="en-US" w:eastAsia="zh-CN"/>
        </w:rPr>
        <w:t>Similarly to the UE side, the network will incur an implementation and especially testing burden by supporting more gap patterns. Interoperability testing needs to be performed with every major type of UE/UE chipset which is expected in the network, especially in the early phases of introducing network features.</w:t>
      </w:r>
    </w:p>
    <w:p w:rsidR="0074573B" w:rsidRPr="0074573B" w:rsidRDefault="0074573B" w:rsidP="00B92619">
      <w:pPr>
        <w:rPr>
          <w:lang w:val="en-US" w:eastAsia="zh-CN"/>
        </w:rPr>
      </w:pPr>
      <w:r>
        <w:rPr>
          <w:lang w:val="en-US" w:eastAsia="zh-CN"/>
        </w:rPr>
        <w:t>One important difference from the UE side is that not agreeing certain mandatory gap patterns increases the burden for the network, whereas on the UE side agreeing them gives the additional burden. If the network wants to exploit (say) UEs which support MGL=3ms it may need to support MGRP=20ms, 40ms, 80ms, 160ms since different UEs may support any subset of these. So then the network may need to support GP2, GP3, GP10 and GP11 even though in practice it may have a strong preference to only use (say) GP2 or GP3.</w:t>
      </w:r>
      <w:r w:rsidR="002860A1">
        <w:rPr>
          <w:lang w:val="en-US" w:eastAsia="zh-CN"/>
        </w:rPr>
        <w:t xml:space="preserve"> If a network wants to implement a certain GP it is beneficial if as many UEs as possible support it, and ultimately that is assured by mandating the GP.</w:t>
      </w:r>
    </w:p>
    <w:p w:rsidR="00AE1A5D" w:rsidRPr="006C6C90" w:rsidRDefault="002860A1" w:rsidP="00AE1A5D">
      <w:pPr>
        <w:rPr>
          <w:b/>
          <w:lang w:val="en-US" w:eastAsia="zh-CN"/>
        </w:rPr>
      </w:pPr>
      <w:r>
        <w:rPr>
          <w:b/>
          <w:lang w:val="en-US" w:eastAsia="zh-CN"/>
        </w:rPr>
        <w:t>Observation 4: An additional network burden comes from implementing and especially testing of the additional non-mandatory gap patterns</w:t>
      </w:r>
    </w:p>
    <w:p w:rsidR="006B6666" w:rsidRDefault="006B6666" w:rsidP="006B6666">
      <w:pPr>
        <w:pStyle w:val="Heading1"/>
        <w:jc w:val="both"/>
        <w:rPr>
          <w:rFonts w:eastAsia="SimSun"/>
          <w:lang w:val="en-US" w:eastAsia="zh-CN"/>
        </w:rPr>
      </w:pPr>
      <w:r>
        <w:rPr>
          <w:rFonts w:eastAsia="SimSun"/>
          <w:lang w:val="en-US" w:eastAsia="zh-CN"/>
        </w:rPr>
        <w:t>Conclusions</w:t>
      </w:r>
    </w:p>
    <w:p w:rsidR="00367330" w:rsidRDefault="002860A1" w:rsidP="00367330">
      <w:pPr>
        <w:rPr>
          <w:lang w:val="en-US" w:eastAsia="zh-CN"/>
        </w:rPr>
      </w:pPr>
      <w:r w:rsidRPr="002860A1">
        <w:rPr>
          <w:lang w:val="en-US" w:eastAsia="zh-CN"/>
        </w:rPr>
        <w:t xml:space="preserve">In this </w:t>
      </w:r>
      <w:r>
        <w:rPr>
          <w:lang w:val="en-US" w:eastAsia="zh-CN"/>
        </w:rPr>
        <w:t>paper, we discuss additional mandatory gap patterns for R16. We discuss mandatory gap patterns and propose</w:t>
      </w:r>
    </w:p>
    <w:p w:rsidR="00EB7258" w:rsidRDefault="00EB7258" w:rsidP="00EB7258">
      <w:pPr>
        <w:rPr>
          <w:b/>
          <w:lang w:val="en-US" w:eastAsia="zh-CN"/>
        </w:rPr>
      </w:pPr>
      <w:r>
        <w:rPr>
          <w:b/>
          <w:lang w:val="en-US" w:eastAsia="zh-CN"/>
        </w:rPr>
        <w:t>Proposal 1 : At least GP17 and GP18 are considered in the discussion mandatory for release 16 UEs</w:t>
      </w:r>
    </w:p>
    <w:p w:rsidR="00EB7258" w:rsidRDefault="00EB7258" w:rsidP="00EB7258">
      <w:pPr>
        <w:rPr>
          <w:b/>
          <w:lang w:val="en-US" w:eastAsia="zh-CN"/>
        </w:rPr>
      </w:pPr>
      <w:r>
        <w:rPr>
          <w:b/>
          <w:lang w:val="en-US" w:eastAsia="zh-CN"/>
        </w:rPr>
        <w:t xml:space="preserve">Assumption 1: Signaling extensions are separately </w:t>
      </w:r>
      <w:r w:rsidR="00E63EDC">
        <w:rPr>
          <w:b/>
          <w:lang w:val="en-US" w:eastAsia="zh-CN"/>
        </w:rPr>
        <w:t>discussed</w:t>
      </w:r>
      <w:r>
        <w:rPr>
          <w:b/>
          <w:lang w:val="en-US" w:eastAsia="zh-CN"/>
        </w:rPr>
        <w:t xml:space="preserve"> for rel 16 such that UEs may indicate that they only support NR measurements with GP</w:t>
      </w:r>
      <w:r>
        <w:rPr>
          <w:rFonts w:ascii="Arial" w:hAnsi="Arial"/>
          <w:snapToGrid w:val="0"/>
          <w:sz w:val="18"/>
        </w:rPr>
        <w:t xml:space="preserve"> </w:t>
      </w:r>
      <w:r w:rsidRPr="00662E4A">
        <w:rPr>
          <w:rFonts w:ascii="Arial" w:hAnsi="Arial"/>
          <w:b/>
          <w:snapToGrid w:val="0"/>
          <w:sz w:val="18"/>
          <w:lang w:eastAsia="zh-CN"/>
        </w:rPr>
        <w:t>2, 3, 4, 6, 7, 8,10</w:t>
      </w:r>
      <w:r>
        <w:rPr>
          <w:b/>
          <w:lang w:val="en-US" w:eastAsia="zh-CN"/>
        </w:rPr>
        <w:t>.</w:t>
      </w:r>
    </w:p>
    <w:p w:rsidR="00EB7258" w:rsidRDefault="00EB7258" w:rsidP="002860A1">
      <w:pPr>
        <w:rPr>
          <w:b/>
          <w:lang w:val="en-US" w:eastAsia="zh-CN"/>
        </w:rPr>
      </w:pPr>
      <w:r>
        <w:rPr>
          <w:b/>
          <w:lang w:val="en-US" w:eastAsia="zh-CN"/>
        </w:rPr>
        <w:t>Proposal 2: If the short measurement gap issue is addressed, at least GP2 and GP3 are considered as additional mandatory gap patterns for R16.</w:t>
      </w:r>
    </w:p>
    <w:p w:rsidR="002860A1" w:rsidRDefault="002860A1" w:rsidP="002860A1">
      <w:pPr>
        <w:rPr>
          <w:b/>
          <w:lang w:val="en-US" w:eastAsia="zh-CN"/>
        </w:rPr>
      </w:pPr>
      <w:r>
        <w:rPr>
          <w:b/>
          <w:lang w:val="en-US" w:eastAsia="zh-CN"/>
        </w:rPr>
        <w:t>Observation 1: UE computational complexity is not significantly increased by supporting additional(shorter) MGL</w:t>
      </w:r>
    </w:p>
    <w:p w:rsidR="002860A1" w:rsidRDefault="002860A1" w:rsidP="002860A1">
      <w:pPr>
        <w:rPr>
          <w:b/>
          <w:lang w:val="en-US" w:eastAsia="zh-CN"/>
        </w:rPr>
      </w:pPr>
      <w:r>
        <w:rPr>
          <w:b/>
          <w:lang w:val="en-US" w:eastAsia="zh-CN"/>
        </w:rPr>
        <w:t>Observation 2: An additional UE burden comes from implementing and especially testing of the additional mandatory gap patterns</w:t>
      </w:r>
    </w:p>
    <w:p w:rsidR="002860A1" w:rsidRDefault="002860A1" w:rsidP="002860A1">
      <w:pPr>
        <w:rPr>
          <w:b/>
          <w:lang w:val="en-US" w:eastAsia="zh-CN"/>
        </w:rPr>
      </w:pPr>
      <w:r>
        <w:rPr>
          <w:b/>
          <w:lang w:val="en-US" w:eastAsia="zh-CN"/>
        </w:rPr>
        <w:t>Observation 3: Network computational complexity is not significantly increased by supporting additional MG patterns</w:t>
      </w:r>
    </w:p>
    <w:p w:rsidR="002860A1" w:rsidRDefault="002860A1" w:rsidP="002860A1">
      <w:pPr>
        <w:rPr>
          <w:b/>
          <w:lang w:val="en-US" w:eastAsia="zh-CN"/>
        </w:rPr>
      </w:pPr>
      <w:r>
        <w:rPr>
          <w:b/>
          <w:lang w:val="en-US" w:eastAsia="zh-CN"/>
        </w:rPr>
        <w:t>Observation 4: An additional network burden comes from implementing and especially testing of the additional non-mandatory gap patterns</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DE0401" w:rsidP="000E35CC">
      <w:pPr>
        <w:pStyle w:val="3GPPNormalText"/>
        <w:numPr>
          <w:ilvl w:val="0"/>
          <w:numId w:val="5"/>
        </w:numPr>
        <w:rPr>
          <w:szCs w:val="20"/>
          <w:lang w:eastAsia="zh-CN"/>
        </w:rPr>
      </w:pPr>
      <w:bookmarkStart w:id="2" w:name="_Ref12541337"/>
      <w:bookmarkStart w:id="3" w:name="_Ref19802584"/>
      <w:r w:rsidRPr="00DE0401">
        <w:rPr>
          <w:szCs w:val="20"/>
          <w:lang w:eastAsia="zh-CN"/>
        </w:rPr>
        <w:t>RP-192157</w:t>
      </w:r>
      <w:r w:rsidR="003F08E6">
        <w:rPr>
          <w:szCs w:val="20"/>
          <w:lang w:eastAsia="zh-CN"/>
        </w:rPr>
        <w:t>, “</w:t>
      </w:r>
      <w:r>
        <w:rPr>
          <w:szCs w:val="20"/>
          <w:lang w:eastAsia="zh-CN"/>
        </w:rPr>
        <w:t>Revi</w:t>
      </w:r>
      <w:bookmarkStart w:id="4" w:name="_GoBack"/>
      <w:bookmarkEnd w:id="4"/>
      <w:r>
        <w:rPr>
          <w:szCs w:val="20"/>
          <w:lang w:eastAsia="zh-CN"/>
        </w:rPr>
        <w:t>sed WID:RRM enhancement in R16</w:t>
      </w:r>
      <w:r w:rsidR="003F08E6">
        <w:rPr>
          <w:szCs w:val="20"/>
          <w:lang w:eastAsia="zh-CN"/>
        </w:rPr>
        <w:t xml:space="preserve">”, </w:t>
      </w:r>
      <w:bookmarkEnd w:id="2"/>
      <w:r>
        <w:rPr>
          <w:szCs w:val="20"/>
          <w:lang w:eastAsia="zh-CN"/>
        </w:rPr>
        <w:t>Intel</w:t>
      </w:r>
      <w:bookmarkEnd w:id="3"/>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140A" w:rsidRDefault="0051140A">
      <w:r>
        <w:separator/>
      </w:r>
    </w:p>
  </w:endnote>
  <w:endnote w:type="continuationSeparator" w:id="0">
    <w:p w:rsidR="0051140A" w:rsidRDefault="00511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140A" w:rsidRDefault="0051140A">
      <w:r>
        <w:separator/>
      </w:r>
    </w:p>
  </w:footnote>
  <w:footnote w:type="continuationSeparator" w:id="0">
    <w:p w:rsidR="0051140A" w:rsidRDefault="00511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7F5789"/>
    <w:multiLevelType w:val="hybridMultilevel"/>
    <w:tmpl w:val="65EEBD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3B6291"/>
    <w:multiLevelType w:val="hybridMultilevel"/>
    <w:tmpl w:val="8C16B984"/>
    <w:lvl w:ilvl="0" w:tplc="6D8E72B6">
      <w:start w:val="1"/>
      <w:numFmt w:val="bullet"/>
      <w:lvlText w:val="•"/>
      <w:lvlJc w:val="left"/>
      <w:pPr>
        <w:tabs>
          <w:tab w:val="num" w:pos="720"/>
        </w:tabs>
        <w:ind w:left="720" w:hanging="360"/>
      </w:pPr>
      <w:rPr>
        <w:rFonts w:ascii="Arial" w:hAnsi="Arial" w:hint="default"/>
      </w:rPr>
    </w:lvl>
    <w:lvl w:ilvl="1" w:tplc="52C00CA0">
      <w:numFmt w:val="none"/>
      <w:lvlText w:val=""/>
      <w:lvlJc w:val="left"/>
      <w:pPr>
        <w:tabs>
          <w:tab w:val="num" w:pos="360"/>
        </w:tabs>
      </w:pPr>
    </w:lvl>
    <w:lvl w:ilvl="2" w:tplc="A88460F2">
      <w:numFmt w:val="none"/>
      <w:lvlText w:val=""/>
      <w:lvlJc w:val="left"/>
      <w:pPr>
        <w:tabs>
          <w:tab w:val="num" w:pos="360"/>
        </w:tabs>
      </w:pPr>
    </w:lvl>
    <w:lvl w:ilvl="3" w:tplc="C2AA65A2" w:tentative="1">
      <w:start w:val="1"/>
      <w:numFmt w:val="bullet"/>
      <w:lvlText w:val="•"/>
      <w:lvlJc w:val="left"/>
      <w:pPr>
        <w:tabs>
          <w:tab w:val="num" w:pos="2880"/>
        </w:tabs>
        <w:ind w:left="2880" w:hanging="360"/>
      </w:pPr>
      <w:rPr>
        <w:rFonts w:ascii="Arial" w:hAnsi="Arial" w:hint="default"/>
      </w:rPr>
    </w:lvl>
    <w:lvl w:ilvl="4" w:tplc="75C0C278" w:tentative="1">
      <w:start w:val="1"/>
      <w:numFmt w:val="bullet"/>
      <w:lvlText w:val="•"/>
      <w:lvlJc w:val="left"/>
      <w:pPr>
        <w:tabs>
          <w:tab w:val="num" w:pos="3600"/>
        </w:tabs>
        <w:ind w:left="3600" w:hanging="360"/>
      </w:pPr>
      <w:rPr>
        <w:rFonts w:ascii="Arial" w:hAnsi="Arial" w:hint="default"/>
      </w:rPr>
    </w:lvl>
    <w:lvl w:ilvl="5" w:tplc="0D7EE950" w:tentative="1">
      <w:start w:val="1"/>
      <w:numFmt w:val="bullet"/>
      <w:lvlText w:val="•"/>
      <w:lvlJc w:val="left"/>
      <w:pPr>
        <w:tabs>
          <w:tab w:val="num" w:pos="4320"/>
        </w:tabs>
        <w:ind w:left="4320" w:hanging="360"/>
      </w:pPr>
      <w:rPr>
        <w:rFonts w:ascii="Arial" w:hAnsi="Arial" w:hint="default"/>
      </w:rPr>
    </w:lvl>
    <w:lvl w:ilvl="6" w:tplc="1F686306" w:tentative="1">
      <w:start w:val="1"/>
      <w:numFmt w:val="bullet"/>
      <w:lvlText w:val="•"/>
      <w:lvlJc w:val="left"/>
      <w:pPr>
        <w:tabs>
          <w:tab w:val="num" w:pos="5040"/>
        </w:tabs>
        <w:ind w:left="5040" w:hanging="360"/>
      </w:pPr>
      <w:rPr>
        <w:rFonts w:ascii="Arial" w:hAnsi="Arial" w:hint="default"/>
      </w:rPr>
    </w:lvl>
    <w:lvl w:ilvl="7" w:tplc="5F906E30" w:tentative="1">
      <w:start w:val="1"/>
      <w:numFmt w:val="bullet"/>
      <w:lvlText w:val="•"/>
      <w:lvlJc w:val="left"/>
      <w:pPr>
        <w:tabs>
          <w:tab w:val="num" w:pos="5760"/>
        </w:tabs>
        <w:ind w:left="5760" w:hanging="360"/>
      </w:pPr>
      <w:rPr>
        <w:rFonts w:ascii="Arial" w:hAnsi="Arial" w:hint="default"/>
      </w:rPr>
    </w:lvl>
    <w:lvl w:ilvl="8" w:tplc="C794F5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AE772F"/>
    <w:multiLevelType w:val="hybridMultilevel"/>
    <w:tmpl w:val="1CE02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7"/>
  </w:num>
  <w:num w:numId="2">
    <w:abstractNumId w:val="36"/>
  </w:num>
  <w:num w:numId="3">
    <w:abstractNumId w:val="38"/>
  </w:num>
  <w:num w:numId="4">
    <w:abstractNumId w:val="10"/>
  </w:num>
  <w:num w:numId="5">
    <w:abstractNumId w:val="13"/>
  </w:num>
  <w:num w:numId="6">
    <w:abstractNumId w:val="32"/>
  </w:num>
  <w:num w:numId="7">
    <w:abstractNumId w:val="11"/>
  </w:num>
  <w:num w:numId="8">
    <w:abstractNumId w:val="24"/>
  </w:num>
  <w:num w:numId="9">
    <w:abstractNumId w:val="14"/>
  </w:num>
  <w:num w:numId="10">
    <w:abstractNumId w:val="15"/>
  </w:num>
  <w:num w:numId="11">
    <w:abstractNumId w:val="7"/>
  </w:num>
  <w:num w:numId="12">
    <w:abstractNumId w:val="21"/>
  </w:num>
  <w:num w:numId="13">
    <w:abstractNumId w:val="0"/>
  </w:num>
  <w:num w:numId="14">
    <w:abstractNumId w:val="1"/>
  </w:num>
  <w:num w:numId="15">
    <w:abstractNumId w:val="37"/>
  </w:num>
  <w:num w:numId="16">
    <w:abstractNumId w:val="22"/>
  </w:num>
  <w:num w:numId="17">
    <w:abstractNumId w:val="23"/>
  </w:num>
  <w:num w:numId="18">
    <w:abstractNumId w:val="9"/>
  </w:num>
  <w:num w:numId="19">
    <w:abstractNumId w:val="28"/>
  </w:num>
  <w:num w:numId="20">
    <w:abstractNumId w:val="30"/>
  </w:num>
  <w:num w:numId="21">
    <w:abstractNumId w:val="6"/>
  </w:num>
  <w:num w:numId="22">
    <w:abstractNumId w:val="34"/>
  </w:num>
  <w:num w:numId="23">
    <w:abstractNumId w:val="3"/>
  </w:num>
  <w:num w:numId="24">
    <w:abstractNumId w:val="25"/>
  </w:num>
  <w:num w:numId="25">
    <w:abstractNumId w:val="8"/>
  </w:num>
  <w:num w:numId="26">
    <w:abstractNumId w:val="29"/>
  </w:num>
  <w:num w:numId="27">
    <w:abstractNumId w:val="19"/>
  </w:num>
  <w:num w:numId="28">
    <w:abstractNumId w:val="20"/>
  </w:num>
  <w:num w:numId="29">
    <w:abstractNumId w:val="35"/>
  </w:num>
  <w:num w:numId="30">
    <w:abstractNumId w:val="31"/>
  </w:num>
  <w:num w:numId="31">
    <w:abstractNumId w:val="33"/>
  </w:num>
  <w:num w:numId="32">
    <w:abstractNumId w:val="12"/>
  </w:num>
  <w:num w:numId="33">
    <w:abstractNumId w:val="18"/>
  </w:num>
  <w:num w:numId="34">
    <w:abstractNumId w:val="2"/>
  </w:num>
  <w:num w:numId="35">
    <w:abstractNumId w:val="4"/>
  </w:num>
  <w:num w:numId="36">
    <w:abstractNumId w:val="5"/>
  </w:num>
  <w:num w:numId="37">
    <w:abstractNumId w:val="27"/>
  </w:num>
  <w:num w:numId="38">
    <w:abstractNumId w:val="16"/>
  </w:num>
  <w:num w:numId="39">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73C"/>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1"/>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3F56"/>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78"/>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C3E"/>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EA0"/>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D60"/>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28"/>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884"/>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0A1"/>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003"/>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9ED"/>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3D8"/>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6F7C"/>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7BE"/>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0A"/>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4BBE"/>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2E4A"/>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67B"/>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6C90"/>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73B"/>
    <w:rsid w:val="007458E0"/>
    <w:rsid w:val="00745D9A"/>
    <w:rsid w:val="0074621D"/>
    <w:rsid w:val="007463B9"/>
    <w:rsid w:val="0074697D"/>
    <w:rsid w:val="00746F72"/>
    <w:rsid w:val="0074710A"/>
    <w:rsid w:val="00750205"/>
    <w:rsid w:val="00750207"/>
    <w:rsid w:val="00750C3A"/>
    <w:rsid w:val="00751024"/>
    <w:rsid w:val="00751067"/>
    <w:rsid w:val="0075135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C65"/>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A5D"/>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2FC8"/>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EA8"/>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19"/>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AAA"/>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9B1"/>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0C"/>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EDC"/>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258"/>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69B"/>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4FD8"/>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84C7"/>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70B75778-DC51-4833-897A-CD97C411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1676</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2</cp:revision>
  <cp:lastPrinted>2009-04-22T13:01:00Z</cp:lastPrinted>
  <dcterms:created xsi:type="dcterms:W3CDTF">2020-02-14T15:07:00Z</dcterms:created>
  <dcterms:modified xsi:type="dcterms:W3CDTF">2020-02-14T15:07:00Z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